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41C6" w14:textId="77777777" w:rsidR="004B1DAD" w:rsidRPr="004B1DAD" w:rsidRDefault="004B1DAD" w:rsidP="004B1DAD">
      <w:pPr>
        <w:keepNext/>
        <w:keepLines/>
        <w:spacing w:before="120" w:after="0" w:line="240" w:lineRule="auto"/>
        <w:ind w:left="284" w:firstLine="284"/>
        <w:jc w:val="both"/>
        <w:outlineLvl w:val="0"/>
        <w:rPr>
          <w:rFonts w:ascii="Myriad Pro" w:eastAsia="SimSun" w:hAnsi="Myriad Pro" w:cs="Calibri Light"/>
          <w:b/>
          <w:color w:val="000000"/>
          <w:sz w:val="28"/>
          <w:szCs w:val="26"/>
          <w:lang w:val="ru"/>
        </w:rPr>
      </w:pPr>
      <w:bookmarkStart w:id="0" w:name="_Toc86855136"/>
      <w:bookmarkStart w:id="1" w:name="_Toc87352879"/>
      <w:r w:rsidRPr="004B1DAD">
        <w:rPr>
          <w:rFonts w:ascii="Myriad Pro" w:eastAsia="SimSun" w:hAnsi="Myriad Pro" w:cs="Calibri Light"/>
          <w:b/>
          <w:color w:val="000000"/>
          <w:sz w:val="28"/>
          <w:szCs w:val="26"/>
          <w:lang w:val="ru"/>
        </w:rPr>
        <w:t>Введение</w:t>
      </w:r>
      <w:bookmarkEnd w:id="0"/>
      <w:bookmarkEnd w:id="1"/>
    </w:p>
    <w:p w14:paraId="1A0A2BC3" w14:textId="77777777" w:rsidR="004B1DAD" w:rsidRPr="004B1DAD" w:rsidRDefault="004B1DAD" w:rsidP="004B1DAD">
      <w:pPr>
        <w:spacing w:after="0" w:line="240" w:lineRule="auto"/>
        <w:ind w:firstLine="284"/>
        <w:jc w:val="both"/>
        <w:rPr>
          <w:rFonts w:ascii="Cambria" w:eastAsia="Calibri" w:hAnsi="Cambria" w:cs="Times New Roman"/>
          <w:color w:val="000000"/>
          <w:sz w:val="28"/>
          <w:szCs w:val="30"/>
          <w:lang w:eastAsia="ru-RU"/>
        </w:rPr>
      </w:pPr>
      <w:r w:rsidRPr="004B1DAD">
        <w:rPr>
          <w:rFonts w:ascii="Cambria" w:eastAsia="Calibri" w:hAnsi="Cambria" w:cs="Times New Roman"/>
          <w:color w:val="000000"/>
          <w:sz w:val="28"/>
          <w:szCs w:val="30"/>
          <w:lang w:eastAsia="ru-RU"/>
        </w:rPr>
        <w:t xml:space="preserve">В настоящей книге речь идет, прежде  всего, не о физике экспериментальных исследований явлений микромира, а о Теории многомерных Природных (пропорциональных) отношений (ТМПО), используя которую в качестве базового инструмента исследования природных отношений [1, 2, 3, 4, 5, 6, 7 ,8], обосновываются новые подходы к исследованию результатов экспериментов в физике микромира. Хотелось бы, чтобы это осознали, в первую очередь, профессионалы - физики, чтобы у них у них не сложилось  мнение, что я пишу исключительно о физике этих явлений.  Физика </w:t>
      </w:r>
      <w:proofErr w:type="gramStart"/>
      <w:r w:rsidRPr="004B1DAD">
        <w:rPr>
          <w:rFonts w:ascii="Cambria" w:eastAsia="Calibri" w:hAnsi="Cambria" w:cs="Times New Roman"/>
          <w:color w:val="000000"/>
          <w:sz w:val="28"/>
          <w:szCs w:val="30"/>
          <w:lang w:eastAsia="ru-RU"/>
        </w:rPr>
        <w:t>- это</w:t>
      </w:r>
      <w:proofErr w:type="gramEnd"/>
      <w:r w:rsidRPr="004B1DAD">
        <w:rPr>
          <w:rFonts w:ascii="Cambria" w:eastAsia="Calibri" w:hAnsi="Cambria" w:cs="Times New Roman"/>
          <w:color w:val="000000"/>
          <w:sz w:val="28"/>
          <w:szCs w:val="30"/>
          <w:lang w:eastAsia="ru-RU"/>
        </w:rPr>
        <w:t xml:space="preserve"> приложение к ТМПО. Поэтому, если они заметят какие-то неточности, или неправильные интерпретации, то уверяю, их можно легко исправить, или они,  с позиций ТМПО, трактуют устоявшиеся «образцы» физического знания по-иному, открывая новые перспективные направления исследований.</w:t>
      </w:r>
    </w:p>
    <w:p w14:paraId="133DA1CC" w14:textId="77777777" w:rsidR="004B1DAD" w:rsidRPr="004B1DAD" w:rsidRDefault="004B1DAD" w:rsidP="004B1DAD">
      <w:pPr>
        <w:spacing w:after="0" w:line="240" w:lineRule="auto"/>
        <w:ind w:firstLine="284"/>
        <w:jc w:val="both"/>
        <w:rPr>
          <w:rFonts w:ascii="Cambria" w:eastAsia="Calibri" w:hAnsi="Cambria" w:cs="Times New Roman"/>
          <w:color w:val="000000"/>
          <w:sz w:val="28"/>
          <w:szCs w:val="30"/>
          <w:lang w:eastAsia="ru-RU"/>
        </w:rPr>
      </w:pPr>
      <w:r w:rsidRPr="004B1DAD">
        <w:rPr>
          <w:rFonts w:ascii="Cambria" w:eastAsia="Calibri" w:hAnsi="Cambria" w:cs="Times New Roman"/>
          <w:color w:val="000000"/>
          <w:sz w:val="28"/>
          <w:szCs w:val="30"/>
          <w:lang w:eastAsia="ru-RU"/>
        </w:rPr>
        <w:t>ТМПО уже изначально отражает суть Теории Относительности. Всегда, когда речь идет о каком-либо отношении (соотношении ), то всегда следует  вначале уяснить «относительно чего (кого)»: «верха или низа», «правого или левого», «внешнего или внутреннего» и т.д.</w:t>
      </w:r>
    </w:p>
    <w:p w14:paraId="3E74CD4D" w14:textId="77777777" w:rsidR="004B1DAD" w:rsidRPr="004B1DAD" w:rsidRDefault="004B1DAD" w:rsidP="004B1DAD">
      <w:pPr>
        <w:spacing w:after="0" w:line="240" w:lineRule="auto"/>
        <w:ind w:firstLine="284"/>
        <w:jc w:val="both"/>
        <w:rPr>
          <w:rFonts w:ascii="Cambria" w:eastAsia="Calibri" w:hAnsi="Cambria" w:cs="Times New Roman"/>
          <w:color w:val="000000"/>
          <w:sz w:val="28"/>
          <w:szCs w:val="30"/>
          <w:lang w:eastAsia="ru-RU"/>
        </w:rPr>
      </w:pPr>
      <w:r w:rsidRPr="004B1DAD">
        <w:rPr>
          <w:rFonts w:ascii="Cambria" w:eastAsia="Calibri" w:hAnsi="Cambria" w:cs="Times New Roman"/>
          <w:color w:val="000000"/>
          <w:sz w:val="28"/>
          <w:szCs w:val="30"/>
          <w:lang w:eastAsia="ru-RU"/>
        </w:rPr>
        <w:t>Каждая пропорция в ТМПО отражает абсолютный закон сохранения её замысла, который никогда не нарушается и в соответствии с которым формируются многомерные пропорции.</w:t>
      </w:r>
    </w:p>
    <w:p w14:paraId="21F4D3AC" w14:textId="77777777" w:rsidR="004B1DAD" w:rsidRPr="004B1DAD" w:rsidRDefault="004B1DAD" w:rsidP="004B1DAD">
      <w:pPr>
        <w:spacing w:after="0" w:line="240" w:lineRule="auto"/>
        <w:ind w:firstLine="284"/>
        <w:jc w:val="both"/>
        <w:rPr>
          <w:rFonts w:ascii="Cambria" w:eastAsia="Calibri" w:hAnsi="Cambria" w:cs="Times New Roman"/>
          <w:color w:val="000000"/>
          <w:sz w:val="28"/>
          <w:szCs w:val="30"/>
          <w:lang w:eastAsia="ru-RU"/>
        </w:rPr>
      </w:pPr>
      <w:r w:rsidRPr="004B1DAD">
        <w:rPr>
          <w:rFonts w:ascii="Cambria" w:eastAsia="Calibri" w:hAnsi="Cambria" w:cs="Times New Roman"/>
          <w:color w:val="000000"/>
          <w:sz w:val="28"/>
          <w:szCs w:val="30"/>
          <w:lang w:eastAsia="ru-RU"/>
        </w:rPr>
        <w:t>Закон сохранения природных (пропорциональных) отношений является причиной существования известного в физике абсолютного закона СПТ-инвариантных отношений, который никогда не нарушатся, а только переходит из одной формы сохранения в другую.</w:t>
      </w:r>
    </w:p>
    <w:p w14:paraId="48693903" w14:textId="77777777" w:rsidR="004B1DAD" w:rsidRPr="004B1DAD" w:rsidRDefault="004B1DAD" w:rsidP="004B1DAD">
      <w:pPr>
        <w:spacing w:after="0" w:line="240" w:lineRule="auto"/>
        <w:ind w:firstLine="284"/>
        <w:jc w:val="both"/>
        <w:rPr>
          <w:rFonts w:ascii="Cambria" w:eastAsia="Calibri" w:hAnsi="Cambria" w:cs="Times New Roman"/>
          <w:color w:val="000000"/>
          <w:sz w:val="28"/>
          <w:szCs w:val="30"/>
          <w:lang w:eastAsia="ru-RU"/>
        </w:rPr>
      </w:pPr>
      <w:r w:rsidRPr="004B1DAD">
        <w:rPr>
          <w:rFonts w:ascii="Cambria" w:eastAsia="Calibri" w:hAnsi="Cambria" w:cs="Times New Roman"/>
          <w:color w:val="000000"/>
          <w:sz w:val="28"/>
          <w:szCs w:val="30"/>
          <w:lang w:eastAsia="ru-RU"/>
        </w:rPr>
        <w:t xml:space="preserve">Обоснование сути этих и других отношений, проводятся по единой схеме Периодических инверсий природных отношений (С, Р, Т – инвариантностей), формирование которой показано в этой книге на примере экспериментальных данных </w:t>
      </w:r>
      <w:r w:rsidRPr="004B1DAD">
        <w:rPr>
          <w:rFonts w:ascii="Cambria" w:eastAsia="Calibri" w:hAnsi="Cambria" w:cs="Times New Roman"/>
          <w:color w:val="000000"/>
          <w:sz w:val="28"/>
          <w:szCs w:val="28"/>
        </w:rPr>
        <w:t>-</w:t>
      </w:r>
      <m:oMath>
        <m:r>
          <w:rPr>
            <w:rFonts w:ascii="Cambria Math" w:eastAsia="Calibri" w:hAnsi="Cambria Math" w:cs="Times New Roman"/>
            <w:color w:val="000000"/>
            <w:sz w:val="28"/>
            <w:szCs w:val="28"/>
          </w:rPr>
          <m:t>β-</m:t>
        </m:r>
      </m:oMath>
      <w:r w:rsidRPr="004B1DAD">
        <w:rPr>
          <w:rFonts w:ascii="Cambria" w:eastAsia="Calibri" w:hAnsi="Cambria" w:cs="Times New Roman"/>
          <w:color w:val="000000"/>
          <w:sz w:val="28"/>
          <w:szCs w:val="28"/>
        </w:rPr>
        <w:t xml:space="preserve">распада ядер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en-US"/>
              </w:rPr>
              <m:t>Co</m:t>
            </m:r>
          </m:e>
          <m:sup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60</m:t>
            </m:r>
          </m:sup>
        </m:sSup>
        <m:r>
          <w:rPr>
            <w:rFonts w:ascii="Cambria Math" w:eastAsia="Calibri" w:hAnsi="Cambria Math" w:cs="Times New Roman"/>
            <w:color w:val="000000"/>
            <w:sz w:val="28"/>
            <w:szCs w:val="28"/>
          </w:rPr>
          <m:t>.</m:t>
        </m:r>
      </m:oMath>
    </w:p>
    <w:p w14:paraId="07BD0587" w14:textId="77777777" w:rsidR="004B1DAD" w:rsidRPr="004B1DAD" w:rsidRDefault="004B1DAD" w:rsidP="004B1DAD">
      <w:pPr>
        <w:spacing w:after="0" w:line="240" w:lineRule="auto"/>
        <w:ind w:firstLine="284"/>
        <w:jc w:val="both"/>
        <w:rPr>
          <w:rFonts w:ascii="Cambria" w:eastAsia="Calibri" w:hAnsi="Cambria" w:cs="Times New Roman"/>
          <w:color w:val="000000"/>
          <w:sz w:val="28"/>
          <w:szCs w:val="30"/>
          <w:highlight w:val="lightGray"/>
          <w:lang w:val="ru"/>
        </w:rPr>
      </w:pPr>
      <w:r w:rsidRPr="004B1DAD">
        <w:rPr>
          <w:rFonts w:ascii="Cambria" w:eastAsia="Calibri" w:hAnsi="Cambria" w:cs="Times New Roman"/>
          <w:color w:val="000000"/>
          <w:sz w:val="28"/>
          <w:szCs w:val="30"/>
          <w:highlight w:val="lightGray"/>
          <w:lang w:eastAsia="ru-RU"/>
        </w:rPr>
        <w:t>О</w:t>
      </w:r>
      <w:proofErr w:type="spellStart"/>
      <w:r w:rsidRPr="004B1DAD">
        <w:rPr>
          <w:rFonts w:ascii="Cambria" w:eastAsia="Calibri" w:hAnsi="Cambria" w:cs="Times New Roman"/>
          <w:color w:val="000000"/>
          <w:sz w:val="28"/>
          <w:szCs w:val="30"/>
          <w:highlight w:val="lightGray"/>
          <w:lang w:val="ru"/>
        </w:rPr>
        <w:t>боснована</w:t>
      </w:r>
      <w:proofErr w:type="spellEnd"/>
      <w:r w:rsidRPr="004B1DAD">
        <w:rPr>
          <w:rFonts w:ascii="Cambria" w:eastAsia="Calibri" w:hAnsi="Cambria" w:cs="Times New Roman"/>
          <w:color w:val="000000"/>
          <w:sz w:val="28"/>
          <w:szCs w:val="30"/>
          <w:highlight w:val="lightGray"/>
          <w:lang w:val="ru"/>
        </w:rPr>
        <w:t xml:space="preserve"> кварковая концепция и производящие функции формирования семейств микромира. Изложены новые подходы к теории квантовой </w:t>
      </w:r>
      <w:proofErr w:type="spellStart"/>
      <w:r w:rsidRPr="004B1DAD">
        <w:rPr>
          <w:rFonts w:ascii="Cambria" w:eastAsia="Calibri" w:hAnsi="Cambria" w:cs="Times New Roman"/>
          <w:color w:val="000000"/>
          <w:sz w:val="28"/>
          <w:szCs w:val="30"/>
          <w:highlight w:val="lightGray"/>
          <w:lang w:val="ru"/>
        </w:rPr>
        <w:t>хромодинамики</w:t>
      </w:r>
      <w:proofErr w:type="spellEnd"/>
      <w:r w:rsidRPr="004B1DAD">
        <w:rPr>
          <w:rFonts w:ascii="Cambria" w:eastAsia="Calibri" w:hAnsi="Cambria" w:cs="Times New Roman"/>
          <w:color w:val="000000"/>
          <w:sz w:val="28"/>
          <w:szCs w:val="30"/>
          <w:highlight w:val="lightGray"/>
          <w:lang w:val="ru"/>
        </w:rPr>
        <w:t xml:space="preserve">. На смену бесцветной (черно-белой) квантовой </w:t>
      </w:r>
      <w:proofErr w:type="spellStart"/>
      <w:r w:rsidRPr="004B1DAD">
        <w:rPr>
          <w:rFonts w:ascii="Cambria" w:eastAsia="Calibri" w:hAnsi="Cambria" w:cs="Times New Roman"/>
          <w:color w:val="000000"/>
          <w:sz w:val="28"/>
          <w:szCs w:val="30"/>
          <w:highlight w:val="lightGray"/>
          <w:lang w:val="ru"/>
        </w:rPr>
        <w:t>хромодинамики</w:t>
      </w:r>
      <w:proofErr w:type="spellEnd"/>
      <w:r w:rsidRPr="004B1DAD">
        <w:rPr>
          <w:rFonts w:ascii="Cambria" w:eastAsia="Calibri" w:hAnsi="Cambria" w:cs="Times New Roman"/>
          <w:color w:val="000000"/>
          <w:sz w:val="28"/>
          <w:szCs w:val="30"/>
          <w:highlight w:val="lightGray"/>
          <w:lang w:val="ru"/>
        </w:rPr>
        <w:t xml:space="preserve"> предложены основы кварковой (цветной) </w:t>
      </w:r>
      <w:proofErr w:type="spellStart"/>
      <w:r w:rsidRPr="004B1DAD">
        <w:rPr>
          <w:rFonts w:ascii="Cambria" w:eastAsia="Calibri" w:hAnsi="Cambria" w:cs="Times New Roman"/>
          <w:color w:val="000000"/>
          <w:sz w:val="28"/>
          <w:szCs w:val="30"/>
          <w:highlight w:val="lightGray"/>
          <w:lang w:val="ru"/>
        </w:rPr>
        <w:t>хромодинамики</w:t>
      </w:r>
      <w:proofErr w:type="spellEnd"/>
      <w:r w:rsidRPr="004B1DAD">
        <w:rPr>
          <w:rFonts w:ascii="Cambria" w:eastAsia="Calibri" w:hAnsi="Cambria" w:cs="Times New Roman"/>
          <w:color w:val="000000"/>
          <w:sz w:val="28"/>
          <w:szCs w:val="30"/>
          <w:highlight w:val="lightGray"/>
          <w:lang w:val="ru"/>
        </w:rPr>
        <w:t>.</w:t>
      </w:r>
    </w:p>
    <w:p w14:paraId="7989D2EC" w14:textId="77777777" w:rsidR="004B1DAD" w:rsidRPr="004B1DAD" w:rsidRDefault="004B1DAD" w:rsidP="004B1DAD">
      <w:pPr>
        <w:spacing w:after="0" w:line="240" w:lineRule="auto"/>
        <w:ind w:firstLine="284"/>
        <w:jc w:val="both"/>
        <w:rPr>
          <w:rFonts w:ascii="Cambria" w:eastAsia="Calibri" w:hAnsi="Cambria" w:cs="Times New Roman"/>
          <w:color w:val="000000"/>
          <w:sz w:val="28"/>
          <w:szCs w:val="30"/>
          <w:highlight w:val="lightGray"/>
        </w:rPr>
      </w:pPr>
      <w:r w:rsidRPr="004B1DAD">
        <w:rPr>
          <w:rFonts w:ascii="Cambria" w:eastAsia="Calibri" w:hAnsi="Cambria" w:cs="Times New Roman"/>
          <w:color w:val="000000"/>
          <w:sz w:val="28"/>
          <w:szCs w:val="30"/>
          <w:highlight w:val="lightGray"/>
          <w:lang w:val="ru"/>
        </w:rPr>
        <w:t xml:space="preserve">По аналогии с «дефектом масс», возникающим при синтезе двух частиц, обоснованы принцип формирования «дефектов кварковых зарядов», на  примере формирования бозонов </w:t>
      </w:r>
      <m:oMath>
        <m:f>
          <m:fPr>
            <m:ctrlPr>
              <w:rPr>
                <w:rFonts w:ascii="Cambria Math" w:eastAsia="Calibri" w:hAnsi="Cambria Math" w:cs="Times New Roman"/>
                <w:color w:val="000000"/>
                <w:sz w:val="28"/>
                <w:szCs w:val="30"/>
                <w:highlight w:val="lightGray"/>
                <w:lang w:val="ru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color w:val="000000"/>
                    <w:sz w:val="28"/>
                    <w:szCs w:val="30"/>
                    <w:highlight w:val="lightGray"/>
                    <w:lang w:val="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000000"/>
                    <w:sz w:val="28"/>
                    <w:szCs w:val="30"/>
                    <w:highlight w:val="lightGray"/>
                    <w:lang w:val="ru"/>
                  </w:rPr>
                  <m:t>W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000000"/>
                    <w:sz w:val="28"/>
                    <w:szCs w:val="30"/>
                    <w:highlight w:val="lightGray"/>
                    <w:lang w:val="ru"/>
                  </w:rPr>
                  <m:t>-</m:t>
                </m:r>
              </m:sup>
            </m:sSup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color w:val="000000"/>
                    <w:sz w:val="28"/>
                    <w:szCs w:val="30"/>
                    <w:highlight w:val="lightGray"/>
                    <w:lang w:val="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000000"/>
                    <w:sz w:val="28"/>
                    <w:szCs w:val="30"/>
                    <w:highlight w:val="lightGray"/>
                    <w:lang w:val="ru"/>
                  </w:rPr>
                  <m:t>W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000000"/>
                    <w:sz w:val="28"/>
                    <w:szCs w:val="30"/>
                    <w:highlight w:val="lightGray"/>
                    <w:lang w:val="ru"/>
                  </w:rPr>
                  <m:t>+</m:t>
                </m:r>
              </m:sup>
            </m:sSup>
          </m:den>
        </m:f>
        <m:r>
          <m:rPr>
            <m:sty m:val="bi"/>
          </m:rPr>
          <w:rPr>
            <w:rFonts w:ascii="Cambria Math" w:eastAsia="Calibri" w:hAnsi="Cambria Math" w:cs="Times New Roman"/>
            <w:color w:val="000000"/>
            <w:sz w:val="28"/>
            <w:szCs w:val="30"/>
            <w:highlight w:val="lightGray"/>
            <w:lang w:val="ru"/>
          </w:rPr>
          <m:t xml:space="preserve">,  </m:t>
        </m:r>
        <m:f>
          <m:fPr>
            <m:ctrlPr>
              <w:rPr>
                <w:rFonts w:ascii="Cambria Math" w:eastAsia="Calibri" w:hAnsi="Cambria Math" w:cs="Times New Roman"/>
                <w:color w:val="000000"/>
                <w:sz w:val="28"/>
                <w:szCs w:val="30"/>
                <w:highlight w:val="lightGray"/>
                <w:lang w:val="ru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color w:val="000000"/>
                    <w:sz w:val="28"/>
                    <w:szCs w:val="30"/>
                    <w:highlight w:val="lightGray"/>
                    <w:lang w:val="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000000"/>
                    <w:sz w:val="28"/>
                    <w:szCs w:val="30"/>
                    <w:highlight w:val="lightGray"/>
                    <w:lang w:val="ru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000000"/>
                    <w:sz w:val="28"/>
                    <w:szCs w:val="30"/>
                    <w:highlight w:val="lightGray"/>
                    <w:lang w:val="ru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color w:val="000000"/>
                    <w:sz w:val="28"/>
                    <w:szCs w:val="30"/>
                    <w:highlight w:val="lightGray"/>
                    <w:lang w:val="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000000"/>
                    <w:sz w:val="28"/>
                    <w:szCs w:val="30"/>
                    <w:highlight w:val="lightGray"/>
                    <w:lang w:val="ru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000000"/>
                    <w:sz w:val="28"/>
                    <w:szCs w:val="30"/>
                    <w:highlight w:val="lightGray"/>
                    <w:lang w:val="ru"/>
                  </w:rPr>
                  <m:t>0</m:t>
                </m:r>
              </m:sup>
            </m:sSup>
          </m:den>
        </m:f>
        <m:r>
          <w:rPr>
            <w:rFonts w:ascii="Cambria Math" w:eastAsia="Calibri" w:hAnsi="Cambria Math" w:cs="Times New Roman"/>
            <w:color w:val="000000"/>
            <w:sz w:val="28"/>
            <w:szCs w:val="30"/>
            <w:highlight w:val="lightGray"/>
            <w:lang w:val="ru"/>
          </w:rPr>
          <m:t>;</m:t>
        </m:r>
      </m:oMath>
      <w:r w:rsidRPr="004B1DAD">
        <w:rPr>
          <w:rFonts w:ascii="Cambria" w:eastAsia="Calibri" w:hAnsi="Cambria" w:cs="Times New Roman"/>
          <w:color w:val="000000"/>
          <w:sz w:val="28"/>
          <w:szCs w:val="30"/>
          <w:highlight w:val="lightGray"/>
          <w:lang w:val="ru"/>
        </w:rPr>
        <w:t xml:space="preserve"> </w:t>
      </w:r>
      <w:r w:rsidRPr="004B1DAD">
        <w:rPr>
          <w:rFonts w:ascii="Cambria" w:eastAsia="Calibri" w:hAnsi="Cambria" w:cs="Times New Roman"/>
          <w:color w:val="000000"/>
          <w:sz w:val="28"/>
          <w:szCs w:val="30"/>
          <w:highlight w:val="lightGray"/>
        </w:rPr>
        <w:t xml:space="preserve"> </w:t>
      </w:r>
    </w:p>
    <w:p w14:paraId="376DA17E" w14:textId="77777777" w:rsidR="004B1DAD" w:rsidRPr="004B1DAD" w:rsidRDefault="004B1DAD" w:rsidP="004B1DAD">
      <w:pPr>
        <w:spacing w:after="0" w:line="240" w:lineRule="auto"/>
        <w:ind w:firstLine="284"/>
        <w:jc w:val="both"/>
        <w:rPr>
          <w:rFonts w:ascii="Cambria" w:eastAsia="Calibri" w:hAnsi="Cambria" w:cs="Times New Roman"/>
          <w:color w:val="000000"/>
          <w:sz w:val="28"/>
          <w:szCs w:val="30"/>
          <w:highlight w:val="lightGray"/>
        </w:rPr>
      </w:pPr>
      <w:r w:rsidRPr="004B1DAD">
        <w:rPr>
          <w:rFonts w:ascii="Cambria" w:eastAsia="Calibri" w:hAnsi="Cambria" w:cs="Times New Roman"/>
          <w:color w:val="000000"/>
          <w:sz w:val="28"/>
          <w:szCs w:val="30"/>
          <w:highlight w:val="lightGray"/>
        </w:rPr>
        <w:t xml:space="preserve">С позиций ТМПО было обосновано, что кварки не существуют в свободном состоянии потому, что они отражают функциональный аспект внутренней структуры элементарных частиц, отражая суть структурно-функционального (корпускулярно-волнового) единства «внешнего» и </w:t>
      </w:r>
      <w:r w:rsidRPr="004B1DAD">
        <w:rPr>
          <w:rFonts w:ascii="Cambria" w:eastAsia="Calibri" w:hAnsi="Cambria" w:cs="Times New Roman"/>
          <w:color w:val="000000"/>
          <w:sz w:val="28"/>
          <w:szCs w:val="30"/>
          <w:highlight w:val="lightGray"/>
        </w:rPr>
        <w:lastRenderedPageBreak/>
        <w:t xml:space="preserve">«внутреннего» семейств микромира. И эта функциональная суть кварков описывается в современной физике в форме свойств </w:t>
      </w:r>
      <w:proofErr w:type="spellStart"/>
      <w:r w:rsidRPr="004B1DAD">
        <w:rPr>
          <w:rFonts w:ascii="Cambria" w:eastAsia="Calibri" w:hAnsi="Cambria" w:cs="Times New Roman"/>
          <w:color w:val="000000"/>
          <w:sz w:val="28"/>
          <w:szCs w:val="30"/>
          <w:highlight w:val="lightGray"/>
        </w:rPr>
        <w:t>глюонов</w:t>
      </w:r>
      <w:proofErr w:type="spellEnd"/>
      <w:r w:rsidRPr="004B1DAD">
        <w:rPr>
          <w:rFonts w:ascii="Cambria" w:eastAsia="Calibri" w:hAnsi="Cambria" w:cs="Times New Roman"/>
          <w:color w:val="000000"/>
          <w:sz w:val="28"/>
          <w:szCs w:val="30"/>
          <w:highlight w:val="lightGray"/>
        </w:rPr>
        <w:t xml:space="preserve">. </w:t>
      </w:r>
    </w:p>
    <w:p w14:paraId="03D93F0F" w14:textId="77777777" w:rsidR="004B1DAD" w:rsidRPr="004B1DAD" w:rsidRDefault="004B1DAD" w:rsidP="004B1DAD">
      <w:pPr>
        <w:spacing w:after="0" w:line="240" w:lineRule="auto"/>
        <w:ind w:firstLine="284"/>
        <w:jc w:val="both"/>
        <w:rPr>
          <w:rFonts w:ascii="Cambria" w:eastAsia="Calibri" w:hAnsi="Cambria" w:cs="Times New Roman"/>
          <w:color w:val="000000"/>
          <w:sz w:val="28"/>
          <w:szCs w:val="30"/>
        </w:rPr>
      </w:pPr>
      <w:r w:rsidRPr="004B1DAD">
        <w:rPr>
          <w:rFonts w:ascii="Cambria" w:eastAsia="Calibri" w:hAnsi="Cambria" w:cs="Times New Roman"/>
          <w:color w:val="000000"/>
          <w:sz w:val="28"/>
          <w:szCs w:val="30"/>
          <w:highlight w:val="lightGray"/>
        </w:rPr>
        <w:t xml:space="preserve">С позиции  структурно-функционального единства природных систем корпускулярно-волновое единство в микромире проявляется в том, что  материальные частицы отражают структурный (корпускулярный)  аспект материального мира, а кварки несут его функциональный (волновой) аспект. В единстве они  и формируют «внешние» (видимые) и «внутренние» (невидимые) части микромира. Функциональная суть кварков описана в современной физике в форме свойств </w:t>
      </w:r>
      <w:proofErr w:type="spellStart"/>
      <w:r w:rsidRPr="004B1DAD">
        <w:rPr>
          <w:rFonts w:ascii="Cambria" w:eastAsia="Calibri" w:hAnsi="Cambria" w:cs="Times New Roman"/>
          <w:color w:val="000000"/>
          <w:sz w:val="28"/>
          <w:szCs w:val="30"/>
          <w:highlight w:val="lightGray"/>
        </w:rPr>
        <w:t>глюонов</w:t>
      </w:r>
      <w:proofErr w:type="spellEnd"/>
      <w:r w:rsidRPr="004B1DAD">
        <w:rPr>
          <w:rFonts w:ascii="Cambria" w:eastAsia="Calibri" w:hAnsi="Cambria" w:cs="Times New Roman"/>
          <w:color w:val="000000"/>
          <w:sz w:val="28"/>
          <w:szCs w:val="30"/>
          <w:highlight w:val="lightGray"/>
        </w:rPr>
        <w:t>.</w:t>
      </w:r>
    </w:p>
    <w:p w14:paraId="7D6AE265" w14:textId="77777777" w:rsidR="004B1DAD" w:rsidRDefault="004B1DAD"/>
    <w:sectPr w:rsidR="004B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AD"/>
    <w:rsid w:val="004B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FE76"/>
  <w15:chartTrackingRefBased/>
  <w15:docId w15:val="{EBA97407-35C6-4FAE-8884-0523C4F7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750</dc:creator>
  <cp:keywords/>
  <dc:description/>
  <cp:lastModifiedBy>Михаил 750</cp:lastModifiedBy>
  <cp:revision>1</cp:revision>
  <dcterms:created xsi:type="dcterms:W3CDTF">2021-11-12T08:54:00Z</dcterms:created>
  <dcterms:modified xsi:type="dcterms:W3CDTF">2021-11-12T08:55:00Z</dcterms:modified>
</cp:coreProperties>
</file>